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6E636F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1C5DA7" w:rsidRPr="00182F63" w:rsidRDefault="001C5DA7" w:rsidP="001C5DA7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 w:rsidR="00182F63">
                    <w:t>утв. приказом ректора ОмГА от 2</w:t>
                  </w:r>
                  <w:r w:rsidR="00182F63" w:rsidRPr="00182F63">
                    <w:t>8</w:t>
                  </w:r>
                  <w:r w:rsidR="00182F63">
                    <w:t>.03.202</w:t>
                  </w:r>
                  <w:r w:rsidR="00182F63" w:rsidRPr="00182F63">
                    <w:t>2</w:t>
                  </w:r>
                  <w:r w:rsidR="00182F63">
                    <w:t xml:space="preserve"> №</w:t>
                  </w:r>
                  <w:r w:rsidR="00182F63" w:rsidRPr="00182F63">
                    <w:t>28</w:t>
                  </w:r>
                </w:p>
                <w:p w:rsidR="001C5DA7" w:rsidRPr="007F1BE3" w:rsidRDefault="001C5DA7" w:rsidP="001C5DA7"/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6E636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DA7" w:rsidRPr="00C94464" w:rsidRDefault="001C5DA7" w:rsidP="001C5D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82F63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182F63">
                    <w:rPr>
                      <w:sz w:val="24"/>
                      <w:szCs w:val="24"/>
                    </w:rPr>
                    <w:t>.03.202</w:t>
                  </w:r>
                  <w:r w:rsidR="00182F63"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CB2496">
                    <w:rPr>
                      <w:sz w:val="24"/>
                      <w:szCs w:val="24"/>
                    </w:rPr>
                    <w:t>.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sz w:val="28"/>
          <w:szCs w:val="28"/>
        </w:rPr>
        <w:t>Б1.Б.18</w:t>
      </w:r>
    </w:p>
    <w:p w:rsidR="00F344F1" w:rsidRPr="00287B12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87B12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830EF" w:rsidRPr="00287B12">
        <w:rPr>
          <w:rFonts w:eastAsia="Courier New"/>
          <w:b/>
          <w:sz w:val="24"/>
          <w:szCs w:val="24"/>
          <w:lang w:bidi="ru-RU"/>
        </w:rPr>
        <w:t>«</w:t>
      </w:r>
      <w:r w:rsidRPr="00287B12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830EF" w:rsidRPr="00287B12">
        <w:rPr>
          <w:rFonts w:eastAsia="Courier New"/>
          <w:b/>
          <w:sz w:val="24"/>
          <w:szCs w:val="24"/>
          <w:lang w:bidi="ru-RU"/>
        </w:rPr>
        <w:t>»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E24EC1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C5DA7" w:rsidRDefault="001C5DA7" w:rsidP="001C5D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1C5DA7" w:rsidRPr="001418A0" w:rsidRDefault="001C5DA7" w:rsidP="001C5D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418A0" w:rsidRDefault="001C5DA7" w:rsidP="001C5DA7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C5DA7" w:rsidRPr="00182F63" w:rsidRDefault="001C5DA7" w:rsidP="001C5DA7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82F63">
        <w:rPr>
          <w:sz w:val="24"/>
          <w:szCs w:val="24"/>
        </w:rPr>
        <w:t>Омск 202</w:t>
      </w:r>
      <w:r w:rsidR="00182F63">
        <w:rPr>
          <w:sz w:val="24"/>
          <w:szCs w:val="24"/>
          <w:lang w:val="en-US"/>
        </w:rPr>
        <w:t>2</w:t>
      </w:r>
    </w:p>
    <w:p w:rsidR="00D22B0B" w:rsidRPr="00287B12" w:rsidRDefault="00F344F1" w:rsidP="00D22B0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87B12">
        <w:rPr>
          <w:sz w:val="24"/>
          <w:szCs w:val="24"/>
        </w:rPr>
        <w:br w:type="page"/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 w:rsidRPr="008D3E3E">
        <w:t xml:space="preserve"> </w:t>
      </w:r>
      <w:r>
        <w:rPr>
          <w:spacing w:val="-3"/>
          <w:sz w:val="24"/>
          <w:szCs w:val="24"/>
          <w:lang w:eastAsia="en-US"/>
        </w:rPr>
        <w:t>Пинигин В.Г.</w:t>
      </w:r>
      <w:r w:rsidR="001C5DA7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5DA7" w:rsidRPr="00B37935" w:rsidRDefault="001C5DA7" w:rsidP="001C5DA7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1C5DA7" w:rsidRDefault="00182F63" w:rsidP="001C5DA7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1C5DA7">
        <w:rPr>
          <w:spacing w:val="-3"/>
          <w:sz w:val="24"/>
          <w:szCs w:val="24"/>
          <w:lang w:eastAsia="en-US"/>
        </w:rPr>
        <w:t xml:space="preserve"> г. №8</w:t>
      </w:r>
    </w:p>
    <w:p w:rsidR="001C5DA7" w:rsidRDefault="001C5DA7" w:rsidP="001C5DA7">
      <w:pPr>
        <w:jc w:val="both"/>
        <w:rPr>
          <w:spacing w:val="-3"/>
          <w:sz w:val="24"/>
          <w:szCs w:val="24"/>
          <w:lang w:eastAsia="en-US"/>
        </w:rPr>
      </w:pPr>
    </w:p>
    <w:p w:rsidR="001C5DA7" w:rsidRPr="00637A5D" w:rsidRDefault="001C5DA7" w:rsidP="001C5DA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  <w:r w:rsidR="00D22B0B"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1C5DA7" w:rsidRPr="00793E1B" w:rsidRDefault="001C5DA7" w:rsidP="001C5DA7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1C5DA7" w:rsidRPr="00951F6B" w:rsidRDefault="001C5DA7" w:rsidP="001C5DA7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C5DA7" w:rsidRPr="00CB2496" w:rsidRDefault="001C5DA7" w:rsidP="001C5D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C5DA7" w:rsidRPr="00CB2496" w:rsidRDefault="001C5DA7" w:rsidP="001C5DA7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2F63" w:rsidRPr="00182F63" w:rsidRDefault="001C5DA7" w:rsidP="00182F6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182F63" w:rsidRPr="00182F6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82F63" w:rsidRPr="00182F63" w:rsidRDefault="00182F63" w:rsidP="00182F63">
      <w:pPr>
        <w:ind w:firstLine="709"/>
        <w:jc w:val="both"/>
        <w:rPr>
          <w:rFonts w:eastAsia="Calibri"/>
          <w:sz w:val="24"/>
          <w:szCs w:val="24"/>
        </w:rPr>
      </w:pPr>
      <w:r w:rsidRPr="00182F6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82F63" w:rsidRPr="00182F63" w:rsidRDefault="00182F63" w:rsidP="00182F63">
      <w:pPr>
        <w:ind w:firstLine="708"/>
        <w:jc w:val="both"/>
        <w:rPr>
          <w:rFonts w:eastAsia="Calibri"/>
          <w:sz w:val="24"/>
          <w:szCs w:val="24"/>
        </w:rPr>
      </w:pPr>
      <w:r w:rsidRPr="00182F63">
        <w:rPr>
          <w:rFonts w:eastAsia="Calibri"/>
          <w:sz w:val="24"/>
          <w:szCs w:val="24"/>
        </w:rPr>
        <w:t xml:space="preserve">- </w:t>
      </w:r>
      <w:r w:rsidRPr="00182F6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82F63" w:rsidRPr="00182F63" w:rsidRDefault="00182F63" w:rsidP="00182F63">
      <w:pPr>
        <w:ind w:firstLine="709"/>
        <w:jc w:val="both"/>
        <w:rPr>
          <w:rFonts w:eastAsia="Calibri"/>
          <w:sz w:val="24"/>
          <w:szCs w:val="24"/>
        </w:rPr>
      </w:pPr>
      <w:r w:rsidRPr="00182F6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82F63" w:rsidRPr="00182F63" w:rsidRDefault="00182F63" w:rsidP="00182F63">
      <w:pPr>
        <w:ind w:firstLine="708"/>
        <w:jc w:val="both"/>
        <w:rPr>
          <w:rFonts w:eastAsia="Calibri"/>
          <w:sz w:val="24"/>
          <w:szCs w:val="24"/>
        </w:rPr>
      </w:pPr>
      <w:r w:rsidRPr="00182F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82F63" w:rsidRPr="00182F63" w:rsidRDefault="00182F63" w:rsidP="00182F63">
      <w:pPr>
        <w:ind w:firstLine="708"/>
        <w:jc w:val="both"/>
        <w:rPr>
          <w:rFonts w:eastAsia="Calibri"/>
          <w:sz w:val="24"/>
          <w:szCs w:val="24"/>
        </w:rPr>
      </w:pPr>
      <w:r w:rsidRPr="00182F6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C5DA7" w:rsidRPr="00CB2496" w:rsidRDefault="00182F63" w:rsidP="00182F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82F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C5DA7" w:rsidRPr="00BB65D3" w:rsidRDefault="001C5DA7" w:rsidP="001C5DA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>
        <w:rPr>
          <w:sz w:val="24"/>
          <w:szCs w:val="24"/>
        </w:rPr>
        <w:t>202</w:t>
      </w:r>
      <w:r w:rsidR="00182F63" w:rsidRPr="00182F63">
        <w:rPr>
          <w:sz w:val="24"/>
          <w:szCs w:val="24"/>
        </w:rPr>
        <w:t>2</w:t>
      </w:r>
      <w:r w:rsidR="00182F63">
        <w:rPr>
          <w:sz w:val="24"/>
          <w:szCs w:val="24"/>
        </w:rPr>
        <w:t>/202</w:t>
      </w:r>
      <w:r w:rsidR="00182F63" w:rsidRPr="00182F6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182F63">
        <w:rPr>
          <w:sz w:val="24"/>
          <w:szCs w:val="24"/>
          <w:lang w:eastAsia="en-US"/>
        </w:rPr>
        <w:t>2</w:t>
      </w:r>
      <w:r w:rsidR="00182F63" w:rsidRPr="00182F63">
        <w:rPr>
          <w:sz w:val="24"/>
          <w:szCs w:val="24"/>
          <w:lang w:eastAsia="en-US"/>
        </w:rPr>
        <w:t>8</w:t>
      </w:r>
      <w:r w:rsidR="00182F63">
        <w:rPr>
          <w:sz w:val="24"/>
          <w:szCs w:val="24"/>
          <w:lang w:eastAsia="en-US"/>
        </w:rPr>
        <w:t>.03.202</w:t>
      </w:r>
      <w:r w:rsidR="00182F63" w:rsidRPr="00182F63">
        <w:rPr>
          <w:sz w:val="24"/>
          <w:szCs w:val="24"/>
          <w:lang w:eastAsia="en-US"/>
        </w:rPr>
        <w:t>2</w:t>
      </w:r>
      <w:r w:rsidR="00182F63">
        <w:rPr>
          <w:sz w:val="24"/>
          <w:szCs w:val="24"/>
          <w:lang w:eastAsia="en-US"/>
        </w:rPr>
        <w:t xml:space="preserve"> № </w:t>
      </w:r>
      <w:r w:rsidR="00182F63" w:rsidRPr="00182F63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1C5DA7" w:rsidRPr="00454316" w:rsidRDefault="001C5DA7" w:rsidP="001C5DA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182F63">
        <w:rPr>
          <w:sz w:val="24"/>
          <w:szCs w:val="24"/>
        </w:rPr>
        <w:t>202</w:t>
      </w:r>
      <w:r w:rsidR="00182F63" w:rsidRPr="00182F63">
        <w:rPr>
          <w:sz w:val="24"/>
          <w:szCs w:val="24"/>
        </w:rPr>
        <w:t>2</w:t>
      </w:r>
      <w:r w:rsidR="00182F63">
        <w:rPr>
          <w:sz w:val="24"/>
          <w:szCs w:val="24"/>
        </w:rPr>
        <w:t>/202</w:t>
      </w:r>
      <w:r w:rsidR="00182F63" w:rsidRPr="00182F6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182F63">
        <w:rPr>
          <w:sz w:val="24"/>
          <w:szCs w:val="24"/>
          <w:lang w:eastAsia="en-US"/>
        </w:rPr>
        <w:t>2</w:t>
      </w:r>
      <w:r w:rsidR="00182F63" w:rsidRPr="00182F63">
        <w:rPr>
          <w:sz w:val="24"/>
          <w:szCs w:val="24"/>
          <w:lang w:eastAsia="en-US"/>
        </w:rPr>
        <w:t>8</w:t>
      </w:r>
      <w:r w:rsidR="00182F63">
        <w:rPr>
          <w:sz w:val="24"/>
          <w:szCs w:val="24"/>
          <w:lang w:eastAsia="en-US"/>
        </w:rPr>
        <w:t>.03.202</w:t>
      </w:r>
      <w:r w:rsidR="00182F63" w:rsidRPr="00182F63">
        <w:rPr>
          <w:sz w:val="24"/>
          <w:szCs w:val="24"/>
          <w:lang w:eastAsia="en-US"/>
        </w:rPr>
        <w:t>2</w:t>
      </w:r>
      <w:r w:rsidR="00182F63">
        <w:rPr>
          <w:sz w:val="24"/>
          <w:szCs w:val="24"/>
          <w:lang w:eastAsia="en-US"/>
        </w:rPr>
        <w:t xml:space="preserve"> № </w:t>
      </w:r>
      <w:r w:rsidR="00182F63" w:rsidRPr="00182F63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>в течение 20</w:t>
      </w:r>
      <w:r w:rsidR="00182F63">
        <w:rPr>
          <w:b/>
          <w:sz w:val="24"/>
          <w:szCs w:val="24"/>
        </w:rPr>
        <w:t>2</w:t>
      </w:r>
      <w:r w:rsidR="00182F63" w:rsidRPr="00182F63">
        <w:rPr>
          <w:b/>
          <w:sz w:val="24"/>
          <w:szCs w:val="24"/>
        </w:rPr>
        <w:t>2</w:t>
      </w:r>
      <w:r w:rsidRPr="00287B12">
        <w:rPr>
          <w:b/>
          <w:sz w:val="24"/>
          <w:szCs w:val="24"/>
        </w:rPr>
        <w:t>/20</w:t>
      </w:r>
      <w:r w:rsidR="00182F63">
        <w:rPr>
          <w:b/>
          <w:sz w:val="24"/>
          <w:szCs w:val="24"/>
        </w:rPr>
        <w:t>2</w:t>
      </w:r>
      <w:r w:rsidR="00182F63" w:rsidRPr="00182F63">
        <w:rPr>
          <w:b/>
          <w:sz w:val="24"/>
          <w:szCs w:val="24"/>
        </w:rPr>
        <w:t>3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E24EC1">
        <w:rPr>
          <w:sz w:val="24"/>
          <w:szCs w:val="24"/>
        </w:rPr>
        <w:t>Математическое образование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20</w:t>
      </w:r>
      <w:r w:rsidR="00182F63">
        <w:rPr>
          <w:sz w:val="24"/>
          <w:szCs w:val="24"/>
        </w:rPr>
        <w:t>2</w:t>
      </w:r>
      <w:r w:rsidR="00182F63" w:rsidRPr="00182F63">
        <w:rPr>
          <w:sz w:val="24"/>
          <w:szCs w:val="24"/>
        </w:rPr>
        <w:t>2</w:t>
      </w:r>
      <w:r w:rsidR="00901770" w:rsidRPr="00287B12">
        <w:rPr>
          <w:sz w:val="24"/>
          <w:szCs w:val="24"/>
        </w:rPr>
        <w:t>/20</w:t>
      </w:r>
      <w:r w:rsidR="00182F63">
        <w:rPr>
          <w:sz w:val="24"/>
          <w:szCs w:val="24"/>
        </w:rPr>
        <w:t>2</w:t>
      </w:r>
      <w:r w:rsidR="00182F63" w:rsidRPr="00182F63">
        <w:rPr>
          <w:sz w:val="24"/>
          <w:szCs w:val="24"/>
        </w:rPr>
        <w:t>3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толерантно воспринимая социальные, 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lastRenderedPageBreak/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lastRenderedPageBreak/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>. Сущность конструктивных умений - конструирование (построение, 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1C5DA7">
        <w:rPr>
          <w:rFonts w:ascii="Times New Roman" w:hAnsi="Times New Roman"/>
          <w:sz w:val="24"/>
          <w:szCs w:val="24"/>
        </w:rPr>
        <w:t>2</w:t>
      </w:r>
      <w:r w:rsidR="00182F63">
        <w:rPr>
          <w:rFonts w:ascii="Times New Roman" w:hAnsi="Times New Roman"/>
          <w:sz w:val="24"/>
          <w:szCs w:val="24"/>
          <w:lang w:val="en-US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44F1" w:rsidRPr="00287B12" w:rsidRDefault="00F344F1" w:rsidP="00F34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87B12">
        <w:rPr>
          <w:b/>
          <w:bCs/>
          <w:i/>
          <w:sz w:val="24"/>
          <w:szCs w:val="24"/>
        </w:rPr>
        <w:t>Основная:</w:t>
      </w:r>
    </w:p>
    <w:p w:rsidR="00C92E04" w:rsidRPr="00287B12" w:rsidRDefault="00C92E04" w:rsidP="00C92E04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287B12">
        <w:rPr>
          <w:sz w:val="24"/>
          <w:szCs w:val="24"/>
          <w:shd w:val="clear" w:color="auto" w:fill="FFFFFF"/>
        </w:rPr>
        <w:t xml:space="preserve">Гуревич, П. С. Психология и педагогика : учебник и практикум для академического бакалавриата / П. С. Гуревич. — 3-е изд., пер. и доп. — М. : Издательство Юрайт, 2018. — 429 с. — (Серия : Бакалавр. Академический курс). — ISBN 978-5-534-04531-4. — Режим доступа : </w:t>
      </w:r>
      <w:hyperlink r:id="rId6" w:history="1">
        <w:r w:rsidRPr="00287B12">
          <w:rPr>
            <w:rStyle w:val="a5"/>
            <w:sz w:val="24"/>
            <w:szCs w:val="24"/>
            <w:shd w:val="clear" w:color="auto" w:fill="FFFFFF"/>
          </w:rPr>
          <w:t>www.biblio-online.ru/book/EBAAFEB8-B671-4BD3-9003-B8E0699425B4</w:t>
        </w:r>
      </w:hyperlink>
      <w:r w:rsidRPr="00287B12">
        <w:rPr>
          <w:sz w:val="24"/>
          <w:szCs w:val="24"/>
          <w:shd w:val="clear" w:color="auto" w:fill="FFFFFF"/>
        </w:rPr>
        <w:t>.</w:t>
      </w:r>
    </w:p>
    <w:p w:rsidR="00C92E04" w:rsidRPr="00287B12" w:rsidRDefault="00C92E04" w:rsidP="00C92E04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287B12">
        <w:rPr>
          <w:sz w:val="24"/>
          <w:szCs w:val="24"/>
          <w:shd w:val="clear" w:color="auto" w:fill="FFFFFF"/>
        </w:rPr>
        <w:t>Столяренко, Л. Д. Психология и педагогика : учебник для академического бакалавриата / Л. Д. Столяренко, В. Е. Столяренко. — 4-е изд., пер. и доп. — М. : Издательство Юрайт, 201</w:t>
      </w:r>
      <w:r w:rsidR="009869C0" w:rsidRPr="00287B12">
        <w:rPr>
          <w:sz w:val="24"/>
          <w:szCs w:val="24"/>
          <w:shd w:val="clear" w:color="auto" w:fill="FFFFFF"/>
        </w:rPr>
        <w:t>7</w:t>
      </w:r>
      <w:r w:rsidRPr="00287B12">
        <w:rPr>
          <w:sz w:val="24"/>
          <w:szCs w:val="24"/>
          <w:shd w:val="clear" w:color="auto" w:fill="FFFFFF"/>
        </w:rPr>
        <w:t xml:space="preserve">. — 509 с. — (Серия : Бакалавр. Академический курс). — ISBN 978-5-9916-6715-9. — Режим доступа : </w:t>
      </w:r>
      <w:hyperlink r:id="rId7" w:history="1">
        <w:r w:rsidRPr="00287B12">
          <w:rPr>
            <w:rStyle w:val="a5"/>
            <w:sz w:val="24"/>
            <w:szCs w:val="24"/>
            <w:shd w:val="clear" w:color="auto" w:fill="FFFFFF"/>
          </w:rPr>
          <w:t>www.biblio-online.ru/book/26543AC2-A871-427D-A13A-6488E9C9A68A</w:t>
        </w:r>
      </w:hyperlink>
      <w:r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344F1" w:rsidRPr="00287B12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87B12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C92E0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287B12">
        <w:rPr>
          <w:sz w:val="24"/>
          <w:szCs w:val="24"/>
          <w:shd w:val="clear" w:color="auto" w:fill="FFFFFF"/>
        </w:rPr>
        <w:t xml:space="preserve">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8" w:history="1">
        <w:r w:rsidR="006E636F">
          <w:rPr>
            <w:rStyle w:val="a5"/>
            <w:sz w:val="24"/>
            <w:szCs w:val="24"/>
            <w:shd w:val="clear" w:color="auto" w:fill="FFFFFF"/>
          </w:rPr>
          <w:t>http://www.iprbookshop.ru/28175</w:t>
        </w:r>
      </w:hyperlink>
    </w:p>
    <w:p w:rsidR="00C92E0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Юдина О.И. Педагогическая диагностика [Электронный ресурс]: практикум/ Юдина О.И.— Электрон. текстовые данные.— Оренбург: Оренбургский государственный университет, ЭБС АСВ, 2014.— 112 c.— Режим доступа: </w:t>
      </w:r>
      <w:hyperlink r:id="rId9" w:history="1">
        <w:r w:rsidR="006E636F">
          <w:rPr>
            <w:rStyle w:val="a5"/>
            <w:sz w:val="24"/>
            <w:szCs w:val="24"/>
          </w:rPr>
          <w:t>http://www.iprbookshop.ru/33647</w:t>
        </w:r>
      </w:hyperlink>
      <w:r w:rsidRPr="00287B12">
        <w:rPr>
          <w:sz w:val="24"/>
          <w:szCs w:val="24"/>
        </w:rPr>
        <w:t xml:space="preserve"> </w:t>
      </w:r>
    </w:p>
    <w:p w:rsidR="007C12C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</w:rPr>
      </w:pPr>
      <w:r w:rsidRPr="00287B12">
        <w:rPr>
          <w:sz w:val="24"/>
          <w:szCs w:val="24"/>
          <w:shd w:val="clear" w:color="auto" w:fill="FFFFFF"/>
        </w:rPr>
        <w:t xml:space="preserve">Шаповаленко, И. В. Психология развития и возрастная психология : учебник и практикум для академического бакалавриата / И. В. Шаповаленко. — 3-е изд., пер. и доп. — М. : Издательство Юрайт, 2018. — 575 с. — (Серия : Бакалавр. Академический курс). — ISBN 978-5-9916-3510-3. — Режим доступа : </w:t>
      </w:r>
      <w:hyperlink r:id="rId10" w:history="1">
        <w:r w:rsidR="00667656">
          <w:rPr>
            <w:rStyle w:val="a5"/>
            <w:sz w:val="24"/>
            <w:szCs w:val="24"/>
            <w:shd w:val="clear" w:color="auto" w:fill="FFFFFF"/>
          </w:rPr>
          <w:t>www.biblio-online.ru/book/C25A5FDC-F233-47C4-9278-FA73F69D4EB0.</w:t>
        </w:r>
      </w:hyperlink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6765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E636F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>ии результатов освоения основной образовательной 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287B12">
        <w:rPr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287B12"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67656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67656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2C77"/>
    <w:rsid w:val="000153C0"/>
    <w:rsid w:val="0003593E"/>
    <w:rsid w:val="00070BBC"/>
    <w:rsid w:val="000732E4"/>
    <w:rsid w:val="00073EF7"/>
    <w:rsid w:val="000A4C44"/>
    <w:rsid w:val="0011500E"/>
    <w:rsid w:val="0013166B"/>
    <w:rsid w:val="001660D8"/>
    <w:rsid w:val="00174109"/>
    <w:rsid w:val="00182F63"/>
    <w:rsid w:val="001871C8"/>
    <w:rsid w:val="001C5DA7"/>
    <w:rsid w:val="001E60CB"/>
    <w:rsid w:val="001F1EB5"/>
    <w:rsid w:val="0023479A"/>
    <w:rsid w:val="00244D34"/>
    <w:rsid w:val="002473AC"/>
    <w:rsid w:val="00250171"/>
    <w:rsid w:val="0027306E"/>
    <w:rsid w:val="00287B12"/>
    <w:rsid w:val="002B380F"/>
    <w:rsid w:val="002C60A5"/>
    <w:rsid w:val="003554F3"/>
    <w:rsid w:val="00375C7B"/>
    <w:rsid w:val="00376539"/>
    <w:rsid w:val="003D6F52"/>
    <w:rsid w:val="00402A67"/>
    <w:rsid w:val="00414B53"/>
    <w:rsid w:val="004158DC"/>
    <w:rsid w:val="00433D87"/>
    <w:rsid w:val="00444217"/>
    <w:rsid w:val="00452C32"/>
    <w:rsid w:val="004A0992"/>
    <w:rsid w:val="004B072C"/>
    <w:rsid w:val="004C7249"/>
    <w:rsid w:val="004E7E07"/>
    <w:rsid w:val="004F7C57"/>
    <w:rsid w:val="0050107E"/>
    <w:rsid w:val="00501814"/>
    <w:rsid w:val="005043C3"/>
    <w:rsid w:val="00546087"/>
    <w:rsid w:val="00573355"/>
    <w:rsid w:val="00592411"/>
    <w:rsid w:val="00667656"/>
    <w:rsid w:val="00672666"/>
    <w:rsid w:val="00681D67"/>
    <w:rsid w:val="00684EF6"/>
    <w:rsid w:val="006A1861"/>
    <w:rsid w:val="006D2283"/>
    <w:rsid w:val="006E636F"/>
    <w:rsid w:val="0070731E"/>
    <w:rsid w:val="00711C33"/>
    <w:rsid w:val="007125B4"/>
    <w:rsid w:val="00731A5A"/>
    <w:rsid w:val="007830EF"/>
    <w:rsid w:val="007B7424"/>
    <w:rsid w:val="007C12C4"/>
    <w:rsid w:val="00814096"/>
    <w:rsid w:val="0084021A"/>
    <w:rsid w:val="0084202D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40FE8"/>
    <w:rsid w:val="00941877"/>
    <w:rsid w:val="00951103"/>
    <w:rsid w:val="00967F35"/>
    <w:rsid w:val="009869C0"/>
    <w:rsid w:val="009932F9"/>
    <w:rsid w:val="009C0C08"/>
    <w:rsid w:val="00A767A5"/>
    <w:rsid w:val="00A96A23"/>
    <w:rsid w:val="00AA79D1"/>
    <w:rsid w:val="00AE4321"/>
    <w:rsid w:val="00AF2436"/>
    <w:rsid w:val="00AF6E70"/>
    <w:rsid w:val="00B426B5"/>
    <w:rsid w:val="00B634CE"/>
    <w:rsid w:val="00B64A7C"/>
    <w:rsid w:val="00B65B54"/>
    <w:rsid w:val="00B87216"/>
    <w:rsid w:val="00B94FE8"/>
    <w:rsid w:val="00BB72A4"/>
    <w:rsid w:val="00C07A22"/>
    <w:rsid w:val="00C16345"/>
    <w:rsid w:val="00C359FB"/>
    <w:rsid w:val="00C43052"/>
    <w:rsid w:val="00C434A4"/>
    <w:rsid w:val="00C60E92"/>
    <w:rsid w:val="00C72109"/>
    <w:rsid w:val="00C7575D"/>
    <w:rsid w:val="00C92E04"/>
    <w:rsid w:val="00CC0EF1"/>
    <w:rsid w:val="00CC6F67"/>
    <w:rsid w:val="00CD2AB0"/>
    <w:rsid w:val="00CD3CEE"/>
    <w:rsid w:val="00D22B0B"/>
    <w:rsid w:val="00D47A7B"/>
    <w:rsid w:val="00D75302"/>
    <w:rsid w:val="00D8263D"/>
    <w:rsid w:val="00D8460D"/>
    <w:rsid w:val="00DA48ED"/>
    <w:rsid w:val="00DC1B65"/>
    <w:rsid w:val="00DD68E1"/>
    <w:rsid w:val="00DE0DE8"/>
    <w:rsid w:val="00E00822"/>
    <w:rsid w:val="00E21EFC"/>
    <w:rsid w:val="00E22413"/>
    <w:rsid w:val="00E24EC1"/>
    <w:rsid w:val="00E55EE2"/>
    <w:rsid w:val="00E6026B"/>
    <w:rsid w:val="00E94FCF"/>
    <w:rsid w:val="00EB0A43"/>
    <w:rsid w:val="00EC48DA"/>
    <w:rsid w:val="00ED5693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24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biblio-online.ru/book/26543AC2-A871-427D-A13A-6488E9C9A68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BAAFEB8-B671-4BD3-9003-B8E0699425B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biblio-online.ru/book/C25A5FDC-F233-47C4-9278-FA73F69D4EB0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B4E0-B20D-4696-A1B5-C0E27F85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55</cp:revision>
  <cp:lastPrinted>2019-03-05T09:17:00Z</cp:lastPrinted>
  <dcterms:created xsi:type="dcterms:W3CDTF">2018-12-09T23:53:00Z</dcterms:created>
  <dcterms:modified xsi:type="dcterms:W3CDTF">2022-11-13T09:48:00Z</dcterms:modified>
</cp:coreProperties>
</file>